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5DC6BD5B" w14:textId="7BDC89FA" w:rsidR="00325FB4" w:rsidRPr="00325FB4" w:rsidRDefault="00325FB4" w:rsidP="00325FB4">
      <w:pPr>
        <w:pStyle w:val="Heading2"/>
        <w:spacing w:before="0"/>
        <w:rPr>
          <w:rFonts w:eastAsia="Arial"/>
          <w:b/>
          <w:sz w:val="36"/>
          <w:szCs w:val="36"/>
        </w:rPr>
      </w:pPr>
      <w:r w:rsidRPr="00325FB4">
        <w:rPr>
          <w:rFonts w:eastAsia="Arial"/>
          <w:b/>
          <w:sz w:val="36"/>
          <w:szCs w:val="36"/>
        </w:rPr>
        <w:t>Secure Acquisition</w:t>
      </w:r>
    </w:p>
    <w:p w14:paraId="2C5B2334" w14:textId="36C53051" w:rsidR="00325FB4" w:rsidRPr="00325FB4" w:rsidRDefault="00325FB4" w:rsidP="00325FB4">
      <w:pPr>
        <w:keepNext/>
        <w:keepLines/>
        <w:spacing w:before="40" w:after="158"/>
        <w:ind w:left="-4"/>
        <w:outlineLvl w:val="1"/>
        <w:rPr>
          <w:rFonts w:asciiTheme="majorHAnsi" w:eastAsiaTheme="majorEastAsia" w:hAnsiTheme="majorHAnsi" w:cstheme="majorBidi"/>
          <w:b/>
          <w:color w:val="2E74B5" w:themeColor="accent1" w:themeShade="BF"/>
          <w:sz w:val="36"/>
          <w:szCs w:val="36"/>
        </w:rPr>
      </w:pPr>
      <w:r w:rsidRPr="00325FB4">
        <w:rPr>
          <w:rFonts w:asciiTheme="majorHAnsi" w:eastAsiaTheme="majorEastAsia" w:hAnsiTheme="majorHAnsi" w:cstheme="majorBidi"/>
          <w:b/>
          <w:color w:val="2D74B5"/>
          <w:sz w:val="36"/>
          <w:szCs w:val="36"/>
        </w:rPr>
        <w:t xml:space="preserve">Case </w:t>
      </w:r>
      <w:r w:rsidR="00227F58">
        <w:rPr>
          <w:rFonts w:asciiTheme="majorHAnsi" w:eastAsiaTheme="majorEastAsia" w:hAnsiTheme="majorHAnsi" w:cstheme="majorBidi"/>
          <w:b/>
          <w:color w:val="2D74B5"/>
          <w:sz w:val="36"/>
          <w:szCs w:val="36"/>
        </w:rPr>
        <w:t>3</w:t>
      </w:r>
      <w:r w:rsidRPr="00325FB4">
        <w:rPr>
          <w:rFonts w:asciiTheme="majorHAnsi" w:eastAsiaTheme="majorEastAsia" w:hAnsiTheme="majorHAnsi" w:cstheme="majorBidi"/>
          <w:b/>
          <w:color w:val="2D74B5"/>
          <w:sz w:val="36"/>
          <w:szCs w:val="36"/>
        </w:rPr>
        <w:t xml:space="preserve">: </w:t>
      </w:r>
      <w:r w:rsidR="00227F58">
        <w:rPr>
          <w:rFonts w:asciiTheme="majorHAnsi" w:eastAsiaTheme="majorEastAsia" w:hAnsiTheme="majorHAnsi" w:cstheme="majorBidi"/>
          <w:b/>
          <w:color w:val="2D74B5"/>
          <w:sz w:val="36"/>
          <w:szCs w:val="36"/>
        </w:rPr>
        <w:t xml:space="preserve">Adequacy of ICT </w:t>
      </w:r>
      <w:r w:rsidRPr="00325FB4">
        <w:rPr>
          <w:rFonts w:asciiTheme="majorHAnsi" w:eastAsiaTheme="majorEastAsia" w:hAnsiTheme="majorHAnsi" w:cstheme="majorBidi"/>
          <w:b/>
          <w:color w:val="2D74B5"/>
          <w:sz w:val="36"/>
          <w:szCs w:val="36"/>
        </w:rPr>
        <w:t xml:space="preserve">SCRM </w:t>
      </w:r>
      <w:r w:rsidR="00227F58">
        <w:rPr>
          <w:rFonts w:asciiTheme="majorHAnsi" w:eastAsiaTheme="majorEastAsia" w:hAnsiTheme="majorHAnsi" w:cstheme="majorBidi"/>
          <w:b/>
          <w:color w:val="2D74B5"/>
          <w:sz w:val="36"/>
          <w:szCs w:val="36"/>
        </w:rPr>
        <w:t>Practice Assessment</w:t>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968DB8B" w:rsidR="00325FB4" w:rsidRPr="00325FB4" w:rsidRDefault="00325FB4">
      <w:pPr>
        <w:spacing w:after="160" w:line="259" w:lineRule="auto"/>
        <w:rPr>
          <w:rFonts w:asciiTheme="minorHAnsi" w:hAnsiTheme="minorHAnsi" w:cstheme="minorHAnsi"/>
          <w:b/>
          <w:bCs/>
        </w:rPr>
      </w:pPr>
      <w:r w:rsidRPr="00325FB4">
        <w:rPr>
          <w:rFonts w:asciiTheme="minorHAnsi" w:hAnsiTheme="minorHAnsi" w:cstheme="minorHAnsi"/>
          <w:b/>
          <w:bCs/>
        </w:rPr>
        <w:t>January 2020</w:t>
      </w:r>
      <w:r w:rsidRPr="00325FB4">
        <w:rPr>
          <w:rFonts w:asciiTheme="minorHAnsi" w:hAnsiTheme="minorHAnsi" w:cstheme="minorHAnsi"/>
          <w:b/>
          <w:bCs/>
        </w:rPr>
        <w:br w:type="page"/>
      </w:r>
    </w:p>
    <w:p w14:paraId="4D6B38A9" w14:textId="2D3DE144" w:rsidR="00325FB4" w:rsidRPr="00325FB4" w:rsidRDefault="00325FB4" w:rsidP="00325FB4">
      <w:pPr>
        <w:rPr>
          <w:sz w:val="24"/>
          <w:szCs w:val="24"/>
        </w:rPr>
      </w:pPr>
      <w:r w:rsidRPr="00325FB4">
        <w:rPr>
          <w:sz w:val="24"/>
          <w:szCs w:val="24"/>
        </w:rPr>
        <w:lastRenderedPageBreak/>
        <w:t>Copyright 20</w:t>
      </w:r>
      <w:r w:rsidR="00505CCF">
        <w:rPr>
          <w:sz w:val="24"/>
          <w:szCs w:val="24"/>
        </w:rPr>
        <w:t>2</w:t>
      </w:r>
      <w:r w:rsidRPr="00325FB4">
        <w:rPr>
          <w:sz w:val="24"/>
          <w:szCs w:val="24"/>
        </w:rPr>
        <w:t xml:space="preserve">0 </w:t>
      </w:r>
      <w:r>
        <w:rPr>
          <w:sz w:val="24"/>
          <w:szCs w:val="24"/>
        </w:rPr>
        <w:t>The University of Detroit Mercy</w:t>
      </w:r>
      <w:r w:rsidRPr="00325FB4">
        <w:rPr>
          <w:sz w:val="24"/>
          <w:szCs w:val="24"/>
        </w:rPr>
        <w:t xml:space="preserve">. </w:t>
      </w:r>
    </w:p>
    <w:p w14:paraId="25697C18" w14:textId="77777777" w:rsidR="00325FB4" w:rsidRPr="00325FB4" w:rsidRDefault="00325FB4" w:rsidP="00325FB4">
      <w:pPr>
        <w:rPr>
          <w:sz w:val="24"/>
          <w:szCs w:val="24"/>
        </w:rPr>
      </w:pPr>
    </w:p>
    <w:p w14:paraId="5ACA703F" w14:textId="77777777" w:rsidR="00325FB4" w:rsidRPr="00325FB4" w:rsidRDefault="00325FB4" w:rsidP="00325FB4">
      <w:pPr>
        <w:rPr>
          <w:sz w:val="24"/>
          <w:szCs w:val="24"/>
        </w:rPr>
      </w:pPr>
      <w:r w:rsidRPr="00325FB4">
        <w:rPr>
          <w:sz w:val="24"/>
          <w:szCs w:val="24"/>
        </w:rPr>
        <w:t xml:space="preserve">NO WARRANTY </w:t>
      </w:r>
    </w:p>
    <w:p w14:paraId="2340FE53" w14:textId="0756D0CD" w:rsidR="00325FB4" w:rsidRPr="00325FB4" w:rsidRDefault="00325FB4" w:rsidP="00325FB4">
      <w:pPr>
        <w:rPr>
          <w:sz w:val="24"/>
          <w:szCs w:val="24"/>
        </w:rPr>
      </w:pPr>
      <w:r w:rsidRPr="00325FB4">
        <w:rPr>
          <w:sz w:val="24"/>
          <w:szCs w:val="24"/>
        </w:rPr>
        <w:t xml:space="preserve">THIS </w:t>
      </w:r>
      <w:r>
        <w:rPr>
          <w:sz w:val="24"/>
          <w:szCs w:val="24"/>
        </w:rPr>
        <w:t>UNIVERSITY OF DETROIT MERCY</w:t>
      </w:r>
      <w:r w:rsidRPr="00325FB4">
        <w:rPr>
          <w:sz w:val="24"/>
          <w:szCs w:val="24"/>
        </w:rPr>
        <w:t xml:space="preserve"> AND SOFTWARE ENGINEERING INSTITUTE MATERIAL IS FURNISHED ON AN "AS-IS" BASIS.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w:t>
      </w:r>
      <w:r w:rsidRPr="00325FB4">
        <w:rPr>
          <w:sz w:val="24"/>
          <w:szCs w:val="24"/>
        </w:rPr>
        <w:t xml:space="preserve">UNIVERSITY </w:t>
      </w:r>
      <w:r>
        <w:rPr>
          <w:sz w:val="24"/>
          <w:szCs w:val="24"/>
        </w:rPr>
        <w:t xml:space="preserve">OF DETROIT MERCY </w:t>
      </w:r>
      <w:r w:rsidRPr="00325FB4">
        <w:rPr>
          <w:sz w:val="24"/>
          <w:szCs w:val="24"/>
        </w:rPr>
        <w:t xml:space="preserve">DOES NOT MAKE ANY WARRANTY OF ANY KIND WITH RESPECT TO FREEDOM FROM PATENT, TRADEMARK, OR COPYRIGHT INFRINGEMENT. </w:t>
      </w:r>
    </w:p>
    <w:p w14:paraId="703D36B5" w14:textId="77777777" w:rsidR="00325FB4" w:rsidRDefault="00325FB4" w:rsidP="00325FB4">
      <w:pPr>
        <w:rPr>
          <w:sz w:val="24"/>
          <w:szCs w:val="24"/>
        </w:rPr>
      </w:pPr>
    </w:p>
    <w:p w14:paraId="0F697D0A" w14:textId="6FAA3842" w:rsidR="00325FB4" w:rsidRPr="00325FB4" w:rsidRDefault="00325FB4" w:rsidP="00325FB4">
      <w:pPr>
        <w:rPr>
          <w:sz w:val="24"/>
          <w:szCs w:val="24"/>
        </w:rPr>
      </w:pPr>
      <w:r w:rsidRPr="00325FB4">
        <w:rPr>
          <w:sz w:val="24"/>
          <w:szCs w:val="24"/>
        </w:rPr>
        <w:t xml:space="preserve">Use of any trademarks in this report is not intended in any way to infringe on the rights of the trademark holder. </w:t>
      </w:r>
    </w:p>
    <w:p w14:paraId="059A50CB" w14:textId="77777777" w:rsidR="00325FB4" w:rsidRDefault="00325FB4" w:rsidP="00325FB4">
      <w:pPr>
        <w:rPr>
          <w:sz w:val="24"/>
          <w:szCs w:val="24"/>
        </w:rPr>
      </w:pPr>
    </w:p>
    <w:p w14:paraId="5CEE95AA" w14:textId="7768ABF8" w:rsidR="00325FB4" w:rsidRPr="00325FB4" w:rsidRDefault="00325FB4" w:rsidP="00325FB4">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34D727B" w14:textId="77777777" w:rsidR="00325FB4" w:rsidRDefault="00325FB4" w:rsidP="00325FB4">
      <w:pPr>
        <w:rPr>
          <w:sz w:val="24"/>
          <w:szCs w:val="24"/>
        </w:rPr>
      </w:pPr>
    </w:p>
    <w:p w14:paraId="0772F766" w14:textId="0C1A2D6D" w:rsidR="00A9595C" w:rsidRPr="00325FB4" w:rsidRDefault="00325FB4" w:rsidP="00325FB4">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5531173C" w14:textId="77777777" w:rsidR="00A9595C" w:rsidRPr="00325FB4" w:rsidRDefault="00A9595C" w:rsidP="00A9595C">
      <w:pPr>
        <w:pStyle w:val="Heading2"/>
        <w:spacing w:before="0"/>
        <w:rPr>
          <w:rFonts w:eastAsia="Arial"/>
          <w:b/>
          <w:sz w:val="32"/>
          <w:szCs w:val="32"/>
        </w:rPr>
      </w:pPr>
    </w:p>
    <w:p w14:paraId="6DE176C4" w14:textId="77777777" w:rsidR="00325FB4" w:rsidRDefault="00325FB4">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0B769F5F" w:rsidR="00D82BA3" w:rsidRPr="00325FB4" w:rsidRDefault="00D82BA3" w:rsidP="00D82BA3">
      <w:pPr>
        <w:rPr>
          <w:rFonts w:asciiTheme="minorHAnsi" w:eastAsia="Arial" w:hAnsiTheme="minorHAnsi"/>
          <w:b/>
          <w:bCs/>
          <w:sz w:val="24"/>
          <w:szCs w:val="22"/>
        </w:rPr>
      </w:pPr>
      <w:r w:rsidRPr="00325FB4">
        <w:rPr>
          <w:rFonts w:asciiTheme="minorHAnsi" w:eastAsia="Arial" w:hAnsiTheme="minorHAnsi"/>
          <w:b/>
          <w:bCs/>
          <w:sz w:val="24"/>
          <w:szCs w:val="22"/>
        </w:rPr>
        <w:lastRenderedPageBreak/>
        <w:t xml:space="preserve">Case </w:t>
      </w:r>
      <w:r w:rsidR="00575DC8">
        <w:rPr>
          <w:rFonts w:asciiTheme="minorHAnsi" w:eastAsia="Arial" w:hAnsiTheme="minorHAnsi"/>
          <w:b/>
          <w:bCs/>
          <w:sz w:val="24"/>
          <w:szCs w:val="22"/>
        </w:rPr>
        <w:t>3: Adequacy of Acquisition Practice</w:t>
      </w:r>
      <w:r w:rsidRPr="00325FB4">
        <w:rPr>
          <w:rFonts w:asciiTheme="minorHAnsi" w:eastAsia="Arial" w:hAnsiTheme="minorHAnsi"/>
          <w:b/>
          <w:bCs/>
          <w:sz w:val="24"/>
          <w:szCs w:val="22"/>
        </w:rPr>
        <w:t xml:space="preserve"> </w:t>
      </w:r>
    </w:p>
    <w:p w14:paraId="701E3F9A" w14:textId="537AF75F" w:rsidR="00575DC8" w:rsidRDefault="00575DC8" w:rsidP="00575DC8">
      <w:pPr>
        <w:rPr>
          <w:rFonts w:ascii="Calibri" w:hAnsi="Calibri" w:cs="Calibri"/>
          <w:b/>
          <w:color w:val="0070C0"/>
          <w:sz w:val="24"/>
          <w:szCs w:val="24"/>
        </w:rPr>
      </w:pPr>
    </w:p>
    <w:p w14:paraId="161C231D" w14:textId="77777777" w:rsidR="00575DC8" w:rsidRPr="000E393A" w:rsidRDefault="00575DC8" w:rsidP="00575DC8">
      <w:pPr>
        <w:pStyle w:val="Heading3"/>
        <w:ind w:left="-4"/>
        <w:rPr>
          <w:b/>
          <w:bCs/>
        </w:rPr>
      </w:pPr>
      <w:r w:rsidRPr="000E393A">
        <w:rPr>
          <w:b/>
          <w:bCs/>
        </w:rPr>
        <w:t xml:space="preserve">Explanation of the Assessment Process </w:t>
      </w:r>
    </w:p>
    <w:p w14:paraId="507BCE66" w14:textId="7F85C9DA" w:rsidR="00575DC8" w:rsidRDefault="00575DC8" w:rsidP="00575DC8">
      <w:pPr>
        <w:spacing w:after="225"/>
        <w:ind w:right="32"/>
        <w:rPr>
          <w:sz w:val="24"/>
          <w:szCs w:val="24"/>
        </w:rPr>
      </w:pPr>
      <w:r w:rsidRPr="00583B22">
        <w:rPr>
          <w:sz w:val="24"/>
          <w:szCs w:val="24"/>
        </w:rPr>
        <w:t xml:space="preserve">The purpose of this assignment is to evaluate the current capability maturity of your ICT supply acquisition security practice. The assessment will determine areas in your organization where proper acquisition risk management is being practiced, as well as the relative maturity of those practices The goal is to generate a nominal ranking of capability maturity based on a universal scale of process performance.  </w:t>
      </w:r>
    </w:p>
    <w:p w14:paraId="4A9DA336" w14:textId="4A8A0345" w:rsidR="006D461D" w:rsidRDefault="006D461D" w:rsidP="006D461D">
      <w:pPr>
        <w:pStyle w:val="Heading3"/>
        <w:rPr>
          <w:b/>
          <w:bCs/>
        </w:rPr>
      </w:pPr>
      <w:r w:rsidRPr="006D461D">
        <w:rPr>
          <w:b/>
          <w:bCs/>
        </w:rPr>
        <w:t>Case</w:t>
      </w:r>
    </w:p>
    <w:p w14:paraId="76BDF4A7" w14:textId="2F3FA825" w:rsidR="006D461D" w:rsidRPr="006D461D" w:rsidRDefault="006D461D" w:rsidP="006D461D">
      <w:pPr>
        <w:pStyle w:val="NoSpacing"/>
        <w:rPr>
          <w:rFonts w:eastAsia="Arial"/>
          <w:sz w:val="24"/>
          <w:szCs w:val="32"/>
        </w:rPr>
      </w:pPr>
      <w:r w:rsidRPr="006D461D">
        <w:rPr>
          <w:rFonts w:eastAsia="Arial"/>
          <w:sz w:val="24"/>
          <w:szCs w:val="24"/>
        </w:rPr>
        <w:t xml:space="preserve">For this case we are addressing </w:t>
      </w:r>
      <w:r w:rsidR="0077762D">
        <w:rPr>
          <w:rFonts w:eastAsia="Arial"/>
          <w:sz w:val="24"/>
          <w:szCs w:val="24"/>
        </w:rPr>
        <w:t>Detroit Defense’s</w:t>
      </w:r>
      <w:r w:rsidRPr="006D461D">
        <w:rPr>
          <w:rFonts w:eastAsia="Arial"/>
          <w:sz w:val="24"/>
          <w:szCs w:val="24"/>
        </w:rPr>
        <w:t xml:space="preserve"> need to upgrade</w:t>
      </w:r>
      <w:r w:rsidR="0077762D">
        <w:rPr>
          <w:rFonts w:eastAsia="Arial"/>
          <w:sz w:val="24"/>
          <w:szCs w:val="24"/>
        </w:rPr>
        <w:t xml:space="preserve"> their</w:t>
      </w:r>
      <w:r w:rsidRPr="006D461D">
        <w:rPr>
          <w:rFonts w:eastAsia="Arial"/>
          <w:sz w:val="24"/>
          <w:szCs w:val="24"/>
        </w:rPr>
        <w:t xml:space="preserve"> F-16F aircraft.  Specifically as it pertains to updating the current navigation system with an Advanced Global Positioning System (GPS) capability.  For this effort the GPS model chosen for this aircraft has been previously utilized in a similar application for the fire control system for the </w:t>
      </w:r>
      <w:r w:rsidR="0077762D">
        <w:rPr>
          <w:rFonts w:eastAsia="Arial"/>
          <w:sz w:val="24"/>
          <w:szCs w:val="24"/>
        </w:rPr>
        <w:t>military’s</w:t>
      </w:r>
      <w:r w:rsidRPr="006D461D">
        <w:rPr>
          <w:rFonts w:eastAsia="Arial"/>
          <w:sz w:val="24"/>
          <w:szCs w:val="24"/>
        </w:rPr>
        <w:t xml:space="preserve"> AH64D (Apache Longbow helicopter).  </w:t>
      </w:r>
      <w:r w:rsidRPr="006D461D">
        <w:rPr>
          <w:rFonts w:eastAsia="Arial"/>
          <w:sz w:val="24"/>
          <w:szCs w:val="32"/>
        </w:rPr>
        <w:t>Consequently, it is considered to be a Commercial off the Shelf (COTS) application.</w:t>
      </w:r>
    </w:p>
    <w:p w14:paraId="2BAC49EE" w14:textId="32EC5098" w:rsidR="006D461D" w:rsidRDefault="006D461D" w:rsidP="006D461D">
      <w:pPr>
        <w:rPr>
          <w:sz w:val="24"/>
          <w:szCs w:val="24"/>
        </w:rPr>
      </w:pPr>
    </w:p>
    <w:p w14:paraId="2EDC99E8" w14:textId="2BF7F67C" w:rsidR="006D461D" w:rsidRDefault="0077762D" w:rsidP="0077762D">
      <w:pPr>
        <w:ind w:left="-360"/>
        <w:rPr>
          <w:sz w:val="24"/>
          <w:szCs w:val="24"/>
        </w:rPr>
      </w:pPr>
      <w:r w:rsidRPr="0077762D">
        <w:drawing>
          <wp:inline distT="0" distB="0" distL="0" distR="0" wp14:anchorId="4727CA3E" wp14:editId="07DF2400">
            <wp:extent cx="6766775" cy="184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71135" cy="1849041"/>
                    </a:xfrm>
                    <a:prstGeom prst="rect">
                      <a:avLst/>
                    </a:prstGeom>
                    <a:noFill/>
                    <a:ln>
                      <a:noFill/>
                    </a:ln>
                  </pic:spPr>
                </pic:pic>
              </a:graphicData>
            </a:graphic>
          </wp:inline>
        </w:drawing>
      </w:r>
    </w:p>
    <w:p w14:paraId="559C9EF5" w14:textId="61853FC5" w:rsidR="006D461D" w:rsidRDefault="006D461D" w:rsidP="006D461D">
      <w:pPr>
        <w:rPr>
          <w:sz w:val="24"/>
          <w:szCs w:val="24"/>
        </w:rPr>
      </w:pPr>
    </w:p>
    <w:p w14:paraId="1CA12276" w14:textId="026CCF2F" w:rsidR="006D461D" w:rsidRPr="006D461D" w:rsidRDefault="006D461D" w:rsidP="006D461D">
      <w:pPr>
        <w:rPr>
          <w:sz w:val="24"/>
          <w:szCs w:val="24"/>
        </w:rPr>
      </w:pPr>
      <w:r w:rsidRPr="006D461D">
        <w:rPr>
          <w:sz w:val="24"/>
          <w:szCs w:val="24"/>
        </w:rPr>
        <w:t xml:space="preserve">Based on the examination and analysis of the summary results using the </w:t>
      </w:r>
      <w:r w:rsidRPr="0047667A">
        <w:rPr>
          <w:i/>
          <w:iCs/>
          <w:sz w:val="24"/>
          <w:szCs w:val="24"/>
        </w:rPr>
        <w:t xml:space="preserve">Capability Maturity Assessment </w:t>
      </w:r>
      <w:r w:rsidR="0047667A" w:rsidRPr="0047667A">
        <w:rPr>
          <w:i/>
          <w:iCs/>
          <w:sz w:val="24"/>
          <w:szCs w:val="24"/>
        </w:rPr>
        <w:t>Checklist</w:t>
      </w:r>
      <w:r w:rsidRPr="006D461D">
        <w:rPr>
          <w:sz w:val="24"/>
          <w:szCs w:val="24"/>
        </w:rPr>
        <w:t xml:space="preserve"> for suppliers, we identified a concern with one of the sub-contractors identified for this effort (Interlo</w:t>
      </w:r>
      <w:r w:rsidR="0077762D">
        <w:rPr>
          <w:sz w:val="24"/>
          <w:szCs w:val="24"/>
        </w:rPr>
        <w:t>chen</w:t>
      </w:r>
      <w:r w:rsidRPr="006D461D">
        <w:rPr>
          <w:sz w:val="24"/>
          <w:szCs w:val="24"/>
        </w:rPr>
        <w:t xml:space="preserve"> Technologies, Inc.)  The concern relates to the sub-contractor’s limited maturity in terms of the number of performance metrics that are not rated as optimized.  While this concern exists, the fact that the sub-contractor is an 8 (A) Contractor, with preference provided by </w:t>
      </w:r>
      <w:r w:rsidR="0035429C">
        <w:rPr>
          <w:sz w:val="24"/>
          <w:szCs w:val="24"/>
        </w:rPr>
        <w:t>Detroit Defense</w:t>
      </w:r>
      <w:r w:rsidRPr="006D461D">
        <w:rPr>
          <w:sz w:val="24"/>
          <w:szCs w:val="24"/>
        </w:rPr>
        <w:t>.  The Prime Contractor will implement additional contract surveillance controls to ensure that all work efforts performed under the contract along with any respective contract modifications will be met and at a level consistent with the performance requirements established for the work effort.</w:t>
      </w:r>
    </w:p>
    <w:p w14:paraId="4FEC5BBB" w14:textId="77777777" w:rsidR="006D461D" w:rsidRDefault="006D461D" w:rsidP="006D461D">
      <w:pPr>
        <w:rPr>
          <w:sz w:val="24"/>
          <w:szCs w:val="24"/>
        </w:rPr>
      </w:pPr>
    </w:p>
    <w:p w14:paraId="38AA081B" w14:textId="77777777" w:rsidR="00575DC8" w:rsidRPr="000E393A" w:rsidRDefault="00575DC8" w:rsidP="00575DC8">
      <w:pPr>
        <w:pStyle w:val="Heading3"/>
        <w:ind w:left="-4"/>
        <w:rPr>
          <w:b/>
          <w:bCs/>
        </w:rPr>
      </w:pPr>
      <w:r w:rsidRPr="000E393A">
        <w:rPr>
          <w:b/>
          <w:bCs/>
        </w:rPr>
        <w:t xml:space="preserve">Selection of Appropriate Communities of Practice </w:t>
      </w:r>
    </w:p>
    <w:p w14:paraId="7B424C21" w14:textId="6DA0AF06" w:rsidR="00575DC8" w:rsidRPr="00583B22" w:rsidRDefault="00575DC8" w:rsidP="00575DC8">
      <w:pPr>
        <w:spacing w:after="225"/>
        <w:ind w:right="32"/>
        <w:rPr>
          <w:sz w:val="24"/>
          <w:szCs w:val="24"/>
        </w:rPr>
      </w:pPr>
      <w:r w:rsidRPr="00583B22">
        <w:rPr>
          <w:sz w:val="24"/>
          <w:szCs w:val="24"/>
        </w:rPr>
        <w:t>The total set of potential practices encompasses the recommendations of NIST IR 7622 “</w:t>
      </w:r>
      <w:r w:rsidRPr="0077762D">
        <w:rPr>
          <w:i/>
          <w:iCs/>
          <w:sz w:val="24"/>
          <w:szCs w:val="24"/>
        </w:rPr>
        <w:t>Supply Chain Risk Management Practices for Federal Information Systems</w:t>
      </w:r>
      <w:r w:rsidRPr="00583B22">
        <w:rPr>
          <w:sz w:val="24"/>
          <w:szCs w:val="24"/>
        </w:rPr>
        <w:t xml:space="preserve">”, which is the most authoritative current reference for proper ICT supply chain risk management practice.  The practices in NIST IR 7622 apply differently within three different communities of practice; </w:t>
      </w:r>
      <w:r w:rsidRPr="00583B22">
        <w:rPr>
          <w:b/>
          <w:bCs/>
          <w:sz w:val="24"/>
          <w:szCs w:val="24"/>
        </w:rPr>
        <w:t xml:space="preserve">Acquirers, Suppliers </w:t>
      </w:r>
      <w:r w:rsidRPr="00A77A5C">
        <w:rPr>
          <w:sz w:val="24"/>
          <w:szCs w:val="24"/>
        </w:rPr>
        <w:t>and</w:t>
      </w:r>
      <w:r w:rsidRPr="00583B22">
        <w:rPr>
          <w:b/>
          <w:bCs/>
          <w:sz w:val="24"/>
          <w:szCs w:val="24"/>
        </w:rPr>
        <w:t xml:space="preserve"> Integrators</w:t>
      </w:r>
      <w:r w:rsidRPr="00583B22">
        <w:rPr>
          <w:sz w:val="24"/>
          <w:szCs w:val="24"/>
        </w:rPr>
        <w:t xml:space="preserve">. </w:t>
      </w:r>
    </w:p>
    <w:p w14:paraId="6E05C09C" w14:textId="5FC7B419" w:rsidR="00575DC8" w:rsidRDefault="00575DC8" w:rsidP="00575DC8">
      <w:pPr>
        <w:spacing w:after="225"/>
        <w:ind w:right="32"/>
        <w:rPr>
          <w:sz w:val="24"/>
          <w:szCs w:val="24"/>
        </w:rPr>
      </w:pPr>
      <w:r w:rsidRPr="00583B22">
        <w:rPr>
          <w:sz w:val="24"/>
          <w:szCs w:val="24"/>
        </w:rPr>
        <w:lastRenderedPageBreak/>
        <w:t xml:space="preserve">Therefore, depending on the role your organization plays you may be required to complete the </w:t>
      </w:r>
      <w:r w:rsidR="001433A4" w:rsidRPr="00583B22">
        <w:rPr>
          <w:i/>
          <w:iCs/>
          <w:sz w:val="24"/>
          <w:szCs w:val="24"/>
        </w:rPr>
        <w:t>Capability</w:t>
      </w:r>
      <w:r w:rsidRPr="00583B22">
        <w:rPr>
          <w:i/>
          <w:iCs/>
          <w:sz w:val="24"/>
          <w:szCs w:val="24"/>
        </w:rPr>
        <w:t xml:space="preserve"> Maturity Assessment</w:t>
      </w:r>
      <w:r w:rsidRPr="00583B22">
        <w:rPr>
          <w:sz w:val="24"/>
          <w:szCs w:val="24"/>
        </w:rPr>
        <w:t xml:space="preserve"> </w:t>
      </w:r>
      <w:r w:rsidR="001433A4" w:rsidRPr="00583B22">
        <w:rPr>
          <w:i/>
          <w:iCs/>
          <w:sz w:val="24"/>
          <w:szCs w:val="24"/>
        </w:rPr>
        <w:t>C</w:t>
      </w:r>
      <w:r w:rsidRPr="00583B22">
        <w:rPr>
          <w:i/>
          <w:iCs/>
          <w:sz w:val="24"/>
          <w:szCs w:val="24"/>
        </w:rPr>
        <w:t xml:space="preserve">hecklist </w:t>
      </w:r>
      <w:r w:rsidRPr="00583B22">
        <w:rPr>
          <w:sz w:val="24"/>
          <w:szCs w:val="24"/>
        </w:rPr>
        <w:t xml:space="preserve">for more than one </w:t>
      </w:r>
      <w:r w:rsidRPr="00583B22">
        <w:rPr>
          <w:b/>
          <w:bCs/>
          <w:sz w:val="24"/>
          <w:szCs w:val="24"/>
        </w:rPr>
        <w:t>community of practice</w:t>
      </w:r>
      <w:r w:rsidRPr="00583B22">
        <w:rPr>
          <w:sz w:val="24"/>
          <w:szCs w:val="24"/>
        </w:rPr>
        <w:t xml:space="preserve">. </w:t>
      </w:r>
      <w:r w:rsidR="00A77A5C">
        <w:rPr>
          <w:sz w:val="24"/>
          <w:szCs w:val="24"/>
        </w:rPr>
        <w:t xml:space="preserve"> </w:t>
      </w:r>
      <w:r w:rsidRPr="00583B22">
        <w:rPr>
          <w:sz w:val="24"/>
          <w:szCs w:val="24"/>
        </w:rPr>
        <w:t xml:space="preserve">And as a consequence, </w:t>
      </w:r>
      <w:r w:rsidR="0035429C">
        <w:rPr>
          <w:sz w:val="24"/>
          <w:szCs w:val="24"/>
        </w:rPr>
        <w:t xml:space="preserve">the checklist identifies </w:t>
      </w:r>
      <w:r w:rsidRPr="00583B22">
        <w:rPr>
          <w:sz w:val="24"/>
          <w:szCs w:val="24"/>
        </w:rPr>
        <w:t>three different assessment</w:t>
      </w:r>
      <w:r w:rsidR="0035429C">
        <w:rPr>
          <w:sz w:val="24"/>
          <w:szCs w:val="24"/>
        </w:rPr>
        <w:t xml:space="preserve"> items</w:t>
      </w:r>
      <w:r w:rsidRPr="00583B22">
        <w:rPr>
          <w:sz w:val="24"/>
          <w:szCs w:val="24"/>
        </w:rPr>
        <w:t xml:space="preserve"> representing each of those notional communities.  </w:t>
      </w:r>
    </w:p>
    <w:p w14:paraId="5A0645F6" w14:textId="4EDFF647" w:rsidR="00A77A5C" w:rsidRPr="00583B22" w:rsidRDefault="00A77A5C" w:rsidP="00575DC8">
      <w:pPr>
        <w:spacing w:after="225"/>
        <w:ind w:right="32"/>
        <w:rPr>
          <w:sz w:val="24"/>
          <w:szCs w:val="24"/>
        </w:rPr>
      </w:pPr>
      <w:r>
        <w:rPr>
          <w:sz w:val="24"/>
          <w:szCs w:val="24"/>
        </w:rPr>
        <w:t xml:space="preserve">The </w:t>
      </w:r>
      <w:r w:rsidRPr="00A77A5C">
        <w:rPr>
          <w:i/>
          <w:iCs/>
          <w:sz w:val="24"/>
          <w:szCs w:val="24"/>
        </w:rPr>
        <w:t>Capability Maturity Assessment Checklist</w:t>
      </w:r>
      <w:r>
        <w:rPr>
          <w:sz w:val="24"/>
          <w:szCs w:val="24"/>
        </w:rPr>
        <w:t xml:space="preserve"> that outlines programmatic activities and general requirements for </w:t>
      </w:r>
      <w:r w:rsidRPr="00A77A5C">
        <w:rPr>
          <w:b/>
          <w:bCs/>
          <w:sz w:val="24"/>
          <w:szCs w:val="24"/>
        </w:rPr>
        <w:t>acquirer</w:t>
      </w:r>
      <w:r w:rsidR="002B7157">
        <w:rPr>
          <w:b/>
          <w:bCs/>
          <w:sz w:val="24"/>
          <w:szCs w:val="24"/>
        </w:rPr>
        <w:t>s</w:t>
      </w:r>
      <w:r w:rsidRPr="00A77A5C">
        <w:rPr>
          <w:b/>
          <w:bCs/>
          <w:sz w:val="24"/>
          <w:szCs w:val="24"/>
        </w:rPr>
        <w:t xml:space="preserve">, integrators, </w:t>
      </w:r>
      <w:r w:rsidRPr="00A77A5C">
        <w:rPr>
          <w:sz w:val="24"/>
          <w:szCs w:val="24"/>
        </w:rPr>
        <w:t xml:space="preserve">and </w:t>
      </w:r>
      <w:r w:rsidRPr="00A77A5C">
        <w:rPr>
          <w:b/>
          <w:bCs/>
          <w:sz w:val="24"/>
          <w:szCs w:val="24"/>
        </w:rPr>
        <w:t>suppliers</w:t>
      </w:r>
      <w:r>
        <w:rPr>
          <w:sz w:val="24"/>
          <w:szCs w:val="24"/>
        </w:rPr>
        <w:t xml:space="preserve"> can be found starting on page 25 of the NIST IR 7622 document.  </w:t>
      </w:r>
      <w:hyperlink r:id="rId9" w:history="1">
        <w:r w:rsidR="0035429C" w:rsidRPr="0048327F">
          <w:rPr>
            <w:rStyle w:val="Hyperlink"/>
            <w:sz w:val="24"/>
            <w:szCs w:val="24"/>
          </w:rPr>
          <w:t>https://csrc.nist.gov/publications/detail/nistir/7622/final</w:t>
        </w:r>
      </w:hyperlink>
      <w:r w:rsidR="0035429C">
        <w:rPr>
          <w:sz w:val="24"/>
          <w:szCs w:val="24"/>
        </w:rPr>
        <w:t xml:space="preserve"> </w:t>
      </w:r>
      <w:bookmarkStart w:id="0" w:name="_GoBack"/>
      <w:bookmarkEnd w:id="0"/>
    </w:p>
    <w:p w14:paraId="6DBB017A" w14:textId="3C0FF141" w:rsidR="00575DC8" w:rsidRPr="000E393A" w:rsidRDefault="00575DC8" w:rsidP="00575DC8">
      <w:pPr>
        <w:pStyle w:val="Heading3"/>
        <w:ind w:left="-4"/>
        <w:rPr>
          <w:b/>
          <w:bCs/>
        </w:rPr>
      </w:pPr>
      <w:r w:rsidRPr="000E393A">
        <w:rPr>
          <w:b/>
          <w:bCs/>
        </w:rPr>
        <w:t xml:space="preserve">How to </w:t>
      </w:r>
      <w:r w:rsidR="00C32966">
        <w:rPr>
          <w:b/>
          <w:bCs/>
        </w:rPr>
        <w:t>Complete</w:t>
      </w:r>
      <w:r w:rsidRPr="000E393A">
        <w:rPr>
          <w:b/>
          <w:bCs/>
        </w:rPr>
        <w:t xml:space="preserve"> the Assessment </w:t>
      </w:r>
    </w:p>
    <w:p w14:paraId="3A34993C" w14:textId="2A234609" w:rsidR="00575DC8" w:rsidRPr="00583B22" w:rsidRDefault="00575DC8" w:rsidP="00575DC8">
      <w:pPr>
        <w:spacing w:after="222"/>
        <w:ind w:right="32"/>
        <w:rPr>
          <w:sz w:val="24"/>
          <w:szCs w:val="24"/>
        </w:rPr>
      </w:pPr>
      <w:r w:rsidRPr="00583B22">
        <w:rPr>
          <w:sz w:val="24"/>
          <w:szCs w:val="24"/>
        </w:rPr>
        <w:t xml:space="preserve">Using the Case, please address each practice in the </w:t>
      </w:r>
      <w:r w:rsidR="005E1D97">
        <w:rPr>
          <w:sz w:val="24"/>
          <w:szCs w:val="24"/>
        </w:rPr>
        <w:t>checklist</w:t>
      </w:r>
      <w:r w:rsidRPr="00583B22">
        <w:rPr>
          <w:sz w:val="24"/>
          <w:szCs w:val="24"/>
        </w:rPr>
        <w:t xml:space="preserve"> as an individual, unique requirement. Provide your best estimate of the level of execution for each of these requirements. Depending on your judgment place a [number] “1” in the column that most appropriately describes the level of execution of each of the individual practices. At the bottom of the instrument you will find a grand-total ranking for the degree of process capability for each of the columns. This sum is the total number of responses for each maturity level. You will be able to roughly determine your organization’s level of capability maturity based on where the bulk of your responses fall. This will allow you to judge the relative maturity of your overall supply chain risk management process, as well as the areas where some improvement may be required.  </w:t>
      </w:r>
    </w:p>
    <w:p w14:paraId="2F70DE3D" w14:textId="77777777" w:rsidR="00575DC8" w:rsidRPr="00583B22" w:rsidRDefault="00575DC8" w:rsidP="00575DC8">
      <w:pPr>
        <w:rPr>
          <w:rFonts w:ascii="Calibri" w:hAnsi="Calibri" w:cs="Calibri"/>
          <w:b/>
          <w:color w:val="0070C0"/>
          <w:sz w:val="24"/>
          <w:szCs w:val="24"/>
        </w:rPr>
      </w:pPr>
    </w:p>
    <w:sectPr w:rsidR="00575DC8" w:rsidRPr="00583B22" w:rsidSect="00331461">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E29F2" w14:textId="77777777" w:rsidR="00954D27" w:rsidRDefault="00954D27" w:rsidP="00350565">
      <w:r>
        <w:separator/>
      </w:r>
    </w:p>
  </w:endnote>
  <w:endnote w:type="continuationSeparator" w:id="0">
    <w:p w14:paraId="368ED512" w14:textId="77777777" w:rsidR="00954D27" w:rsidRDefault="00954D27"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73BBA" w14:textId="77777777" w:rsidR="00954D27" w:rsidRDefault="00954D27" w:rsidP="00350565">
      <w:r>
        <w:separator/>
      </w:r>
    </w:p>
  </w:footnote>
  <w:footnote w:type="continuationSeparator" w:id="0">
    <w:p w14:paraId="0FED16CC" w14:textId="77777777" w:rsidR="00954D27" w:rsidRDefault="00954D27"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25"/>
  </w:num>
  <w:num w:numId="4">
    <w:abstractNumId w:val="20"/>
  </w:num>
  <w:num w:numId="5">
    <w:abstractNumId w:val="28"/>
  </w:num>
  <w:num w:numId="6">
    <w:abstractNumId w:val="2"/>
  </w:num>
  <w:num w:numId="7">
    <w:abstractNumId w:val="21"/>
  </w:num>
  <w:num w:numId="8">
    <w:abstractNumId w:val="8"/>
  </w:num>
  <w:num w:numId="9">
    <w:abstractNumId w:val="16"/>
  </w:num>
  <w:num w:numId="10">
    <w:abstractNumId w:val="5"/>
  </w:num>
  <w:num w:numId="11">
    <w:abstractNumId w:val="6"/>
  </w:num>
  <w:num w:numId="12">
    <w:abstractNumId w:val="7"/>
  </w:num>
  <w:num w:numId="13">
    <w:abstractNumId w:val="12"/>
  </w:num>
  <w:num w:numId="14">
    <w:abstractNumId w:val="19"/>
  </w:num>
  <w:num w:numId="15">
    <w:abstractNumId w:val="3"/>
  </w:num>
  <w:num w:numId="16">
    <w:abstractNumId w:val="9"/>
  </w:num>
  <w:num w:numId="17">
    <w:abstractNumId w:val="27"/>
  </w:num>
  <w:num w:numId="18">
    <w:abstractNumId w:val="14"/>
  </w:num>
  <w:num w:numId="19">
    <w:abstractNumId w:val="1"/>
  </w:num>
  <w:num w:numId="20">
    <w:abstractNumId w:val="13"/>
  </w:num>
  <w:num w:numId="21">
    <w:abstractNumId w:val="22"/>
  </w:num>
  <w:num w:numId="22">
    <w:abstractNumId w:val="0"/>
  </w:num>
  <w:num w:numId="23">
    <w:abstractNumId w:val="18"/>
  </w:num>
  <w:num w:numId="24">
    <w:abstractNumId w:val="24"/>
  </w:num>
  <w:num w:numId="25">
    <w:abstractNumId w:val="4"/>
  </w:num>
  <w:num w:numId="26">
    <w:abstractNumId w:val="17"/>
  </w:num>
  <w:num w:numId="27">
    <w:abstractNumId w:val="23"/>
  </w:num>
  <w:num w:numId="28">
    <w:abstractNumId w:val="1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71A1B"/>
    <w:rsid w:val="000944AE"/>
    <w:rsid w:val="000C4D53"/>
    <w:rsid w:val="000D25E0"/>
    <w:rsid w:val="000E393A"/>
    <w:rsid w:val="00116A27"/>
    <w:rsid w:val="00125729"/>
    <w:rsid w:val="001433A4"/>
    <w:rsid w:val="001A1F95"/>
    <w:rsid w:val="00206667"/>
    <w:rsid w:val="00227F58"/>
    <w:rsid w:val="0029060D"/>
    <w:rsid w:val="002B7157"/>
    <w:rsid w:val="00325FB4"/>
    <w:rsid w:val="00331461"/>
    <w:rsid w:val="00350565"/>
    <w:rsid w:val="0035429C"/>
    <w:rsid w:val="00383A15"/>
    <w:rsid w:val="003B3504"/>
    <w:rsid w:val="00435E5F"/>
    <w:rsid w:val="00447F01"/>
    <w:rsid w:val="0047667A"/>
    <w:rsid w:val="00505CCF"/>
    <w:rsid w:val="00513FDA"/>
    <w:rsid w:val="0057224E"/>
    <w:rsid w:val="00575DC8"/>
    <w:rsid w:val="00583B22"/>
    <w:rsid w:val="005965C4"/>
    <w:rsid w:val="005E1D97"/>
    <w:rsid w:val="006006D2"/>
    <w:rsid w:val="00640F7E"/>
    <w:rsid w:val="006629DE"/>
    <w:rsid w:val="006D461D"/>
    <w:rsid w:val="00764B7F"/>
    <w:rsid w:val="00776CD6"/>
    <w:rsid w:val="0077762D"/>
    <w:rsid w:val="007E0B8F"/>
    <w:rsid w:val="007E7882"/>
    <w:rsid w:val="007F68B8"/>
    <w:rsid w:val="00847FB9"/>
    <w:rsid w:val="00855E9C"/>
    <w:rsid w:val="008C130D"/>
    <w:rsid w:val="00926569"/>
    <w:rsid w:val="0093157F"/>
    <w:rsid w:val="00954D27"/>
    <w:rsid w:val="00966821"/>
    <w:rsid w:val="009A2C22"/>
    <w:rsid w:val="00A14D5C"/>
    <w:rsid w:val="00A315BC"/>
    <w:rsid w:val="00A77A5C"/>
    <w:rsid w:val="00A83531"/>
    <w:rsid w:val="00A9595C"/>
    <w:rsid w:val="00AE0C53"/>
    <w:rsid w:val="00AE1A17"/>
    <w:rsid w:val="00B009D3"/>
    <w:rsid w:val="00B017CB"/>
    <w:rsid w:val="00B72052"/>
    <w:rsid w:val="00B7360A"/>
    <w:rsid w:val="00B77A86"/>
    <w:rsid w:val="00BC11BD"/>
    <w:rsid w:val="00BC4A5F"/>
    <w:rsid w:val="00BE5546"/>
    <w:rsid w:val="00C17552"/>
    <w:rsid w:val="00C3135C"/>
    <w:rsid w:val="00C32966"/>
    <w:rsid w:val="00CB1F01"/>
    <w:rsid w:val="00D26CED"/>
    <w:rsid w:val="00D35ECE"/>
    <w:rsid w:val="00D606C5"/>
    <w:rsid w:val="00D701FD"/>
    <w:rsid w:val="00D724DF"/>
    <w:rsid w:val="00D7262A"/>
    <w:rsid w:val="00D77DA7"/>
    <w:rsid w:val="00D82BA3"/>
    <w:rsid w:val="00DB6033"/>
    <w:rsid w:val="00DE2588"/>
    <w:rsid w:val="00DE7C18"/>
    <w:rsid w:val="00E1505E"/>
    <w:rsid w:val="00E24714"/>
    <w:rsid w:val="00E45D16"/>
    <w:rsid w:val="00E50814"/>
    <w:rsid w:val="00E8339C"/>
    <w:rsid w:val="00EA1359"/>
    <w:rsid w:val="00EB16B9"/>
    <w:rsid w:val="00EB5928"/>
    <w:rsid w:val="00F25CAF"/>
    <w:rsid w:val="00F80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3542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rc.nist.gov/publications/detail/nistir/7622/fi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EF02F-29C5-475D-96E1-7DBDA33D6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783</Words>
  <Characters>4396</Characters>
  <Application>Microsoft Office Word</Application>
  <DocSecurity>0</DocSecurity>
  <Lines>122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Anne Kohnke</cp:lastModifiedBy>
  <cp:revision>18</cp:revision>
  <dcterms:created xsi:type="dcterms:W3CDTF">2020-01-03T23:11:00Z</dcterms:created>
  <dcterms:modified xsi:type="dcterms:W3CDTF">2020-01-20T20:49:00Z</dcterms:modified>
</cp:coreProperties>
</file>